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218440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0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250825</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7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7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18,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245110</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drawing>
          <wp:anchor simplePos="0" relativeHeight="251657728" behindDoc="1" locked="0" layoutInCell="0" allowOverlap="1">
            <wp:simplePos x="0" y="0"/>
            <wp:positionH relativeFrom="column">
              <wp:posOffset>2371725</wp:posOffset>
            </wp:positionH>
            <wp:positionV relativeFrom="paragraph">
              <wp:posOffset>424815</wp:posOffset>
            </wp:positionV>
            <wp:extent cx="2245995" cy="63436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2245995" cy="63436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9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227330</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33"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jc w:val="center"/>
        <w:ind w:right="2100"/>
        <w:spacing w:after="0"/>
        <w:rPr>
          <w:sz w:val="20"/>
          <w:szCs w:val="20"/>
          <w:color w:val="auto"/>
        </w:rPr>
      </w:pPr>
      <w:r>
        <w:rPr>
          <w:rFonts w:ascii="Times New Roman" w:cs="Times New Roman" w:eastAsia="Times New Roman" w:hAnsi="Times New Roman"/>
          <w:sz w:val="17"/>
          <w:szCs w:val="17"/>
          <w:b w:val="1"/>
          <w:bCs w:val="1"/>
          <w:color w:val="auto"/>
        </w:rPr>
        <w:t>001-42509</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500" w:space="720"/>
            <w:col w:w="28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spacing w:after="0" w:line="28"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38"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81"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2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230505</wp:posOffset>
            </wp:positionV>
            <wp:extent cx="147447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54"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225"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33"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191"/>
        </w:trPr>
        <w:tc>
          <w:tcPr>
            <w:tcW w:w="37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rPr>
              <w:t>Class A common stock, par value $0.001 per share</w:t>
            </w:r>
          </w:p>
        </w:tc>
        <w:tc>
          <w:tcPr>
            <w:tcW w:w="120" w:type="dxa"/>
            <w:vAlign w:val="bottom"/>
          </w:tcPr>
          <w:p>
            <w:pPr>
              <w:spacing w:after="0"/>
              <w:rPr>
                <w:sz w:val="16"/>
                <w:szCs w:val="16"/>
                <w:color w:val="auto"/>
              </w:rPr>
            </w:pPr>
          </w:p>
        </w:tc>
        <w:tc>
          <w:tcPr>
            <w:tcW w:w="3520" w:type="dxa"/>
            <w:vAlign w:val="bottom"/>
            <w:tcBorders>
              <w:top w:val="single" w:sz="8" w:color="auto"/>
            </w:tcBorders>
          </w:tcPr>
          <w:p>
            <w:pPr>
              <w:ind w:left="1520"/>
              <w:spacing w:after="0" w:line="191" w:lineRule="exact"/>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6"/>
                <w:szCs w:val="16"/>
                <w:color w:val="auto"/>
              </w:rPr>
            </w:pPr>
          </w:p>
        </w:tc>
        <w:tc>
          <w:tcPr>
            <w:tcW w:w="35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16"/>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rPr>
              <w:t>8.00% Series A Perpetual Strike Preferred Stock,</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8"/>
                <w:szCs w:val="18"/>
                <w:color w:val="auto"/>
              </w:rPr>
              <w:t>STRK</w:t>
            </w:r>
          </w:p>
        </w:tc>
        <w:tc>
          <w:tcPr>
            <w:tcW w:w="354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34"/>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w w:val="99"/>
              </w:rPr>
              <w:t>$0.001 par value per share</w:t>
            </w:r>
          </w:p>
        </w:tc>
        <w:tc>
          <w:tcPr>
            <w:tcW w:w="35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354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98"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121"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66"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ATM and BTC Update</w:t>
      </w:r>
    </w:p>
    <w:p>
      <w:pPr>
        <w:spacing w:after="0" w:line="119" w:lineRule="exact"/>
        <w:rPr>
          <w:sz w:val="20"/>
          <w:szCs w:val="20"/>
          <w:color w:val="auto"/>
        </w:rPr>
      </w:pPr>
    </w:p>
    <w:p>
      <w:pPr>
        <w:jc w:val="both"/>
        <w:ind w:right="180"/>
        <w:spacing w:after="0" w:line="266" w:lineRule="auto"/>
        <w:rPr>
          <w:sz w:val="20"/>
          <w:szCs w:val="20"/>
          <w:color w:val="auto"/>
        </w:rPr>
      </w:pPr>
      <w:r>
        <w:rPr>
          <w:rFonts w:ascii="Times New Roman" w:cs="Times New Roman" w:eastAsia="Times New Roman" w:hAnsi="Times New Roman"/>
          <w:sz w:val="18"/>
          <w:szCs w:val="18"/>
          <w:color w:val="auto"/>
        </w:rPr>
        <w:t>On February 18, 2025, MicroStrategy Incorporated d/b/a Strategy (the “Company”) announced that, during the period between February 10, 2025 and February 17, 2025, the Company did not sell any shares of class A common stock (“Shares”) under its at-the-market equity offering program, and did not purchase any bitcoin.</w:t>
      </w:r>
    </w:p>
    <w:p>
      <w:pPr>
        <w:spacing w:after="0" w:line="176" w:lineRule="exact"/>
        <w:rPr>
          <w:sz w:val="20"/>
          <w:szCs w:val="20"/>
          <w:color w:val="auto"/>
        </w:rPr>
      </w:pPr>
    </w:p>
    <w:p>
      <w:pPr>
        <w:ind w:right="160"/>
        <w:spacing w:after="0" w:line="266" w:lineRule="auto"/>
        <w:rPr>
          <w:sz w:val="20"/>
          <w:szCs w:val="20"/>
          <w:color w:val="auto"/>
        </w:rPr>
      </w:pPr>
      <w:r>
        <w:rPr>
          <w:rFonts w:ascii="Times New Roman" w:cs="Times New Roman" w:eastAsia="Times New Roman" w:hAnsi="Times New Roman"/>
          <w:sz w:val="18"/>
          <w:szCs w:val="18"/>
          <w:color w:val="auto"/>
        </w:rPr>
        <w:t>As of February 17, 2025, the Company, together with its subsidiaries, held an aggregate of approximately 478,740 bitcoins, which were acquired at an aggregate purchase price of approximately $31.1 billion and an average purchase price of approximately $65,033 per bitcoin, inclusive of fees and expenses.</w:t>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2027 Notes Redemption Update</w:t>
      </w:r>
    </w:p>
    <w:p>
      <w:pPr>
        <w:spacing w:after="0" w:line="119"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On January 24, 2025, the Company delivered a notice of full redemption (the “Notice”) to the trustee of the Company’s 0.0% Convertible Senior Notes due 2027 in the original total principal amount of $1.05 billion (the “2027 Convertible Notes”). The Notice calls for the redemption of all of the outstanding 2027 Convertible Notes on February 24, 2025 (the “Redemption Date”), at a redemption price equal to 100% of the principal amount of the 2027 Convertible Notes to be redeemed, plus accrued and unpaid special interest, if any, to but excluding the Redemption Date, unless earlier converted. As of February 14, 2025, the Company has received conversion requests for approximately $857.4 million in principal amount of the 2027 Convertible Notes, which equates to the issuance upon settlement of 6,022,026 Shares in the aggregate.</w:t>
      </w:r>
    </w:p>
    <w:p>
      <w:pPr>
        <w:spacing w:after="0" w:line="332"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7.01</w:t>
      </w:r>
      <w:r>
        <w:rPr>
          <w:sz w:val="20"/>
          <w:szCs w:val="20"/>
          <w:color w:val="auto"/>
        </w:rPr>
        <w:tab/>
      </w:r>
      <w:r>
        <w:rPr>
          <w:rFonts w:ascii="Times New Roman" w:cs="Times New Roman" w:eastAsia="Times New Roman" w:hAnsi="Times New Roman"/>
          <w:sz w:val="18"/>
          <w:szCs w:val="18"/>
          <w:b w:val="1"/>
          <w:bCs w:val="1"/>
          <w:color w:val="auto"/>
        </w:rPr>
        <w:t>Regulation FD Disclosure.</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Strategy Dashboard</w:t>
      </w:r>
    </w:p>
    <w:p>
      <w:pPr>
        <w:spacing w:after="0" w:line="119"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The Company also maintains a dashboard on its website (www.strategy.com) as a disclosure channel for providing broad, non-exclusionary distribution of information regarding the Company to the public, including information regarding market prices of its outstanding securities, bitcoin purchases and holdings, certain KPI metrics and other supplemental information, and as one means of disclosing non-public information in compliance with its disclosure obligations under Regulation FD. Investors and others are encouraged to regularly review the information that the Company makes public via the website dashboard.</w:t>
      </w:r>
    </w:p>
    <w:p>
      <w:pPr>
        <w:spacing w:after="0" w:line="2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Furnished Information</w:t>
      </w:r>
    </w:p>
    <w:p>
      <w:pPr>
        <w:spacing w:after="0" w:line="119" w:lineRule="exact"/>
        <w:rPr>
          <w:sz w:val="20"/>
          <w:szCs w:val="20"/>
          <w:color w:val="auto"/>
        </w:rPr>
      </w:pPr>
    </w:p>
    <w:p>
      <w:pPr>
        <w:ind w:right="380"/>
        <w:spacing w:after="0" w:line="261" w:lineRule="auto"/>
        <w:rPr>
          <w:sz w:val="20"/>
          <w:szCs w:val="20"/>
          <w:color w:val="auto"/>
        </w:rPr>
      </w:pPr>
      <w:r>
        <w:rPr>
          <w:rFonts w:ascii="Times New Roman" w:cs="Times New Roman" w:eastAsia="Times New Roman" w:hAnsi="Times New Roman"/>
          <w:sz w:val="18"/>
          <w:szCs w:val="18"/>
          <w:color w:val="auto"/>
        </w:rPr>
        <w:t>The information disclosed pursuant to Item 7.01 in this Current Report on Form 8-K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ectPr>
          <w:pgSz w:w="11900" w:h="16838" w:orient="portrait"/>
          <w:cols w:equalWidth="0" w:num="1">
            <w:col w:w="10980"/>
          </w:cols>
          <w:pgMar w:left="440" w:top="293" w:right="47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40" w:type="dxa"/>
            <w:vAlign w:val="bottom"/>
          </w:tcPr>
          <w:p>
            <w:pPr>
              <w:spacing w:after="0"/>
              <w:rPr>
                <w:sz w:val="20"/>
                <w:szCs w:val="20"/>
                <w:color w:val="auto"/>
              </w:rPr>
            </w:pPr>
            <w:r>
              <w:rPr>
                <w:rFonts w:ascii="Times New Roman" w:cs="Times New Roman" w:eastAsia="Times New Roman" w:hAnsi="Times New Roman"/>
                <w:sz w:val="18"/>
                <w:szCs w:val="18"/>
                <w:color w:val="auto"/>
              </w:rPr>
              <w:t>Date: February 18, 2025</w:t>
            </w: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640" w:type="dxa"/>
            <w:vAlign w:val="bottom"/>
          </w:tcPr>
          <w:p>
            <w:pPr>
              <w:spacing w:after="0"/>
              <w:rPr>
                <w:sz w:val="20"/>
                <w:szCs w:val="20"/>
                <w:color w:val="auto"/>
              </w:rPr>
            </w:pP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640" w:type="dxa"/>
            <w:vAlign w:val="bottom"/>
          </w:tcPr>
          <w:p>
            <w:pPr>
              <w:spacing w:after="0"/>
              <w:rPr>
                <w:sz w:val="24"/>
                <w:szCs w:val="24"/>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40" w:type="dxa"/>
            <w:vAlign w:val="bottom"/>
          </w:tcPr>
          <w:p>
            <w:pPr>
              <w:spacing w:after="0"/>
              <w:rPr>
                <w:sz w:val="17"/>
                <w:szCs w:val="17"/>
                <w:color w:val="auto"/>
              </w:rPr>
            </w:pPr>
          </w:p>
        </w:tc>
        <w:tc>
          <w:tcPr>
            <w:tcW w:w="2520" w:type="dxa"/>
            <w:vAlign w:val="bottom"/>
          </w:tcPr>
          <w:p>
            <w:pPr>
              <w:ind w:left="188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40" w:type="dxa"/>
            <w:vAlign w:val="bottom"/>
          </w:tcPr>
          <w:p>
            <w:pPr>
              <w:spacing w:after="0"/>
              <w:rPr>
                <w:sz w:val="20"/>
                <w:szCs w:val="20"/>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jpe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2025-02-18T07:10:51Z</dcterms:created>
  <dcterms:modified xsi:type="dcterms:W3CDTF">2025-02-18T07:10:51Z</dcterms:modified>
</cp:coreProperties>
</file>